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24C15" w14:textId="4560590E" w:rsidR="006E6F7C" w:rsidRDefault="00A44616" w:rsidP="006E6F7C">
      <w:pPr>
        <w:pStyle w:val="Akapitzlist"/>
        <w:spacing w:after="0" w:line="240" w:lineRule="auto"/>
        <w:ind w:left="340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 xml:space="preserve">Propozycje zmian do </w:t>
      </w:r>
      <w:r w:rsidR="006E6F7C" w:rsidRPr="006E6F7C">
        <w:rPr>
          <w:rFonts w:ascii="Times New Roman" w:hAnsi="Times New Roman"/>
          <w:b/>
        </w:rPr>
        <w:t xml:space="preserve">Programu współpracy Miasta Opola </w:t>
      </w:r>
      <w:r w:rsidR="006E6F7C" w:rsidRPr="006E6F7C">
        <w:rPr>
          <w:rFonts w:ascii="Times New Roman" w:hAnsi="Times New Roman"/>
          <w:b/>
        </w:rPr>
        <w:br/>
        <w:t xml:space="preserve">z organizacjami pozarządowymi </w:t>
      </w:r>
      <w:r w:rsidR="006E6F7C" w:rsidRPr="006E6F7C">
        <w:rPr>
          <w:rFonts w:ascii="Times New Roman" w:hAnsi="Times New Roman"/>
          <w:b/>
        </w:rPr>
        <w:br/>
        <w:t>i innymi uprawnionymi podmiotami na rok 2026</w:t>
      </w:r>
    </w:p>
    <w:p w14:paraId="1C453A5E" w14:textId="4170B2D6" w:rsidR="006E6F7C" w:rsidRPr="006E6F7C" w:rsidRDefault="006E6F7C" w:rsidP="006E6F7C">
      <w:pPr>
        <w:pStyle w:val="Akapitzlist"/>
        <w:spacing w:after="0" w:line="240" w:lineRule="auto"/>
        <w:ind w:left="340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Złożone w I etapie konsultacji (konsultacje z NGO)</w:t>
      </w:r>
    </w:p>
    <w:p w14:paraId="2D5F56EF" w14:textId="77777777" w:rsidR="006E6F7C" w:rsidRPr="006E6F7C" w:rsidRDefault="006E6F7C" w:rsidP="00890177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1708"/>
        <w:gridCol w:w="3957"/>
        <w:gridCol w:w="3119"/>
        <w:gridCol w:w="1134"/>
        <w:gridCol w:w="4961"/>
      </w:tblGrid>
      <w:tr w:rsidR="006E6F7C" w:rsidRPr="001D3C29" w14:paraId="60979F9E" w14:textId="77777777" w:rsidTr="00AB10CD">
        <w:tc>
          <w:tcPr>
            <w:tcW w:w="1708" w:type="dxa"/>
            <w:vAlign w:val="center"/>
          </w:tcPr>
          <w:p w14:paraId="4E0668C7" w14:textId="5F707D63" w:rsidR="006E6F7C" w:rsidRPr="004902B8" w:rsidRDefault="006E6F7C" w:rsidP="00A44616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4902B8">
              <w:rPr>
                <w:rFonts w:ascii="Times New Roman" w:hAnsi="Times New Roman" w:cs="Times New Roman"/>
                <w:b/>
                <w:sz w:val="14"/>
                <w:szCs w:val="18"/>
              </w:rPr>
              <w:t>Nazwa Stowarzyszenia</w:t>
            </w:r>
          </w:p>
        </w:tc>
        <w:tc>
          <w:tcPr>
            <w:tcW w:w="3957" w:type="dxa"/>
            <w:vAlign w:val="center"/>
          </w:tcPr>
          <w:p w14:paraId="66EE6811" w14:textId="096BB4E6" w:rsidR="006E6F7C" w:rsidRPr="004902B8" w:rsidRDefault="006E6F7C" w:rsidP="00A44616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4902B8">
              <w:rPr>
                <w:rFonts w:ascii="Times New Roman" w:hAnsi="Times New Roman" w:cs="Times New Roman"/>
                <w:b/>
                <w:sz w:val="14"/>
                <w:szCs w:val="18"/>
              </w:rPr>
              <w:t>Propozycje zmiany</w:t>
            </w:r>
          </w:p>
        </w:tc>
        <w:tc>
          <w:tcPr>
            <w:tcW w:w="3119" w:type="dxa"/>
            <w:vAlign w:val="center"/>
          </w:tcPr>
          <w:p w14:paraId="631B42D8" w14:textId="59FD345D" w:rsidR="006E6F7C" w:rsidRPr="004902B8" w:rsidRDefault="006E6F7C" w:rsidP="00A44616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4902B8">
              <w:rPr>
                <w:rFonts w:ascii="Times New Roman" w:hAnsi="Times New Roman" w:cs="Times New Roman"/>
                <w:b/>
                <w:sz w:val="14"/>
                <w:szCs w:val="18"/>
              </w:rPr>
              <w:t>Uzasadnienie</w:t>
            </w:r>
          </w:p>
        </w:tc>
        <w:tc>
          <w:tcPr>
            <w:tcW w:w="1134" w:type="dxa"/>
            <w:vAlign w:val="center"/>
          </w:tcPr>
          <w:p w14:paraId="6E49B653" w14:textId="7215DA41" w:rsidR="006E6F7C" w:rsidRPr="004902B8" w:rsidRDefault="006E6F7C" w:rsidP="00A44616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4902B8">
              <w:rPr>
                <w:rFonts w:ascii="Times New Roman" w:hAnsi="Times New Roman" w:cs="Times New Roman"/>
                <w:b/>
                <w:sz w:val="14"/>
                <w:szCs w:val="18"/>
              </w:rPr>
              <w:t>Wydział merytoryczny</w:t>
            </w:r>
          </w:p>
        </w:tc>
        <w:tc>
          <w:tcPr>
            <w:tcW w:w="4961" w:type="dxa"/>
            <w:vAlign w:val="center"/>
          </w:tcPr>
          <w:p w14:paraId="27E03D2D" w14:textId="760B21AC" w:rsidR="006E6F7C" w:rsidRPr="004902B8" w:rsidRDefault="00AB10CD" w:rsidP="00A44616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4902B8">
              <w:rPr>
                <w:rFonts w:ascii="Times New Roman" w:hAnsi="Times New Roman" w:cs="Times New Roman"/>
                <w:b/>
                <w:sz w:val="14"/>
                <w:szCs w:val="18"/>
              </w:rPr>
              <w:t>Stanowisko Wydziału merytorycznego</w:t>
            </w:r>
          </w:p>
        </w:tc>
      </w:tr>
      <w:tr w:rsidR="006E6F7C" w:rsidRPr="001D3C29" w14:paraId="73DECB7A" w14:textId="77777777" w:rsidTr="00AB10CD">
        <w:tc>
          <w:tcPr>
            <w:tcW w:w="1708" w:type="dxa"/>
            <w:vMerge w:val="restart"/>
            <w:vAlign w:val="center"/>
          </w:tcPr>
          <w:p w14:paraId="0065481F" w14:textId="77777777" w:rsidR="006E6F7C" w:rsidRPr="001D3C29" w:rsidRDefault="006E6F7C" w:rsidP="00AB2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Stowarzyszenie </w:t>
            </w:r>
            <w:proofErr w:type="spellStart"/>
            <w:r w:rsidRPr="001D3C29">
              <w:rPr>
                <w:rFonts w:ascii="Times New Roman" w:hAnsi="Times New Roman" w:cs="Times New Roman"/>
                <w:b/>
                <w:sz w:val="18"/>
                <w:szCs w:val="18"/>
              </w:rPr>
              <w:t>Proobronne</w:t>
            </w:r>
            <w:proofErr w:type="spellEnd"/>
            <w:r w:rsidRPr="001D3C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B7B3C79" w14:textId="59F0A7E1" w:rsidR="006E6F7C" w:rsidRPr="001D3C29" w:rsidRDefault="006E6F7C" w:rsidP="00AB2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b/>
                <w:sz w:val="18"/>
                <w:szCs w:val="18"/>
              </w:rPr>
              <w:t>4 Regiment</w:t>
            </w:r>
          </w:p>
          <w:p w14:paraId="468AE052" w14:textId="77777777" w:rsidR="006E6F7C" w:rsidRPr="001D3C29" w:rsidRDefault="006E6F7C" w:rsidP="00AB2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7" w:type="dxa"/>
            <w:vAlign w:val="center"/>
          </w:tcPr>
          <w:p w14:paraId="29F3D355" w14:textId="77777777" w:rsidR="006E6F7C" w:rsidRPr="001D3C29" w:rsidRDefault="006E6F7C" w:rsidP="00C030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sz w:val="18"/>
                <w:szCs w:val="18"/>
              </w:rPr>
              <w:t xml:space="preserve">17. Priorytetowe zadania publiczne w sferze „Porządek i bezpieczeństwo publiczne”: </w:t>
            </w:r>
          </w:p>
          <w:p w14:paraId="58CC746B" w14:textId="52ABF571" w:rsidR="006E6F7C" w:rsidRPr="001D3C29" w:rsidRDefault="006E6F7C" w:rsidP="00C030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sz w:val="18"/>
                <w:szCs w:val="18"/>
              </w:rPr>
              <w:t>2) Popularyzacja wiedzy z zakresu ochrony przeciwpożarowej,</w:t>
            </w:r>
            <w:r w:rsidRPr="001D3C29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zarządzania kryzysowego, ratownictwa i bezpieczeństwa;</w:t>
            </w:r>
            <w:r w:rsidRPr="001D3C2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3119" w:type="dxa"/>
          </w:tcPr>
          <w:p w14:paraId="51A551FE" w14:textId="77777777" w:rsidR="006E6F7C" w:rsidRPr="001D3C29" w:rsidRDefault="006E6F7C" w:rsidP="00E90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513E362" w14:textId="523EAD80" w:rsidR="006E6F7C" w:rsidRPr="004902B8" w:rsidRDefault="006E6F7C" w:rsidP="00E907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2B8">
              <w:rPr>
                <w:rFonts w:ascii="Times New Roman" w:hAnsi="Times New Roman" w:cs="Times New Roman"/>
                <w:b/>
                <w:sz w:val="16"/>
                <w:szCs w:val="18"/>
              </w:rPr>
              <w:t>Wydział Zarządzania Kryzysowego</w:t>
            </w:r>
          </w:p>
        </w:tc>
        <w:tc>
          <w:tcPr>
            <w:tcW w:w="4961" w:type="dxa"/>
            <w:vAlign w:val="center"/>
          </w:tcPr>
          <w:p w14:paraId="369B036A" w14:textId="2557913F" w:rsidR="006E6F7C" w:rsidRPr="001D3C29" w:rsidRDefault="006E6F7C" w:rsidP="00E90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10CD"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Wydział Zarządzania Kryzysowego uwzględni przedłożoną propozycję zmiany nazwy celu.</w:t>
            </w:r>
          </w:p>
        </w:tc>
      </w:tr>
      <w:tr w:rsidR="006E6F7C" w:rsidRPr="001D3C29" w14:paraId="0635BD82" w14:textId="77777777" w:rsidTr="00AB10CD">
        <w:tc>
          <w:tcPr>
            <w:tcW w:w="1708" w:type="dxa"/>
            <w:vMerge/>
            <w:vAlign w:val="center"/>
          </w:tcPr>
          <w:p w14:paraId="4530FC95" w14:textId="77777777" w:rsidR="006E6F7C" w:rsidRPr="001D3C29" w:rsidRDefault="006E6F7C" w:rsidP="00AB2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7" w:type="dxa"/>
            <w:vAlign w:val="center"/>
          </w:tcPr>
          <w:p w14:paraId="38936CFD" w14:textId="77777777" w:rsidR="006E6F7C" w:rsidRPr="001D3C29" w:rsidRDefault="006E6F7C" w:rsidP="008901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</w:t>
            </w:r>
            <w:r w:rsidRPr="001D3C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  <w:t xml:space="preserve">Priorytetowe zadania publiczne w sferze „Ratownictwo i ochrona ludności”: </w:t>
            </w:r>
          </w:p>
          <w:p w14:paraId="0AC8E873" w14:textId="77777777" w:rsidR="006E6F7C" w:rsidRPr="001D3C29" w:rsidRDefault="006E6F7C" w:rsidP="008901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</w:t>
            </w:r>
            <w:r w:rsidRPr="001D3C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  <w:r w:rsidRPr="001D3C29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Edukacja społeczna w zakresie zagadnień odnoszących się do ochrony ludności. Kształtowanie świadomości zagrożeń oraz odpowiednich zachowań w sytuacjach zagrożenia</w:t>
            </w:r>
            <w:r w:rsidRPr="001D3C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0356C450" w14:textId="77777777" w:rsidR="006E6F7C" w:rsidRPr="001D3C29" w:rsidRDefault="006E6F7C" w:rsidP="00C030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21982E2" w14:textId="77777777" w:rsidR="006E6F7C" w:rsidRPr="001D3C29" w:rsidRDefault="006E6F7C" w:rsidP="00E90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A7EFEBF" w14:textId="77777777" w:rsidR="006E6F7C" w:rsidRPr="001D3C29" w:rsidRDefault="006E6F7C" w:rsidP="00E90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6EC67E4" w14:textId="77777777" w:rsidR="00AB10CD" w:rsidRPr="001D3C29" w:rsidRDefault="00AB10CD" w:rsidP="00AB10CD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Wydział Zarządzania Kryzysowego działa w oparciu o ustawę z dnia 5 grudnia 2024 r. </w:t>
            </w:r>
          </w:p>
          <w:p w14:paraId="32B5DEEB" w14:textId="2B25D34F" w:rsidR="006E6F7C" w:rsidRPr="001D3C29" w:rsidRDefault="00AB10CD" w:rsidP="00AB1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 ochronie ludności i obronie cywilnej i na tej podstawie tworzony był ten cel. W związku z tym prosimy</w:t>
            </w:r>
            <w:r w:rsidR="004902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aby </w:t>
            </w:r>
            <w:r w:rsidR="004902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ten cel 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pozostał w niezmienionej formie tj. </w:t>
            </w:r>
            <w:r w:rsidRPr="004902B8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„Edukacja społeczna w zakresie zagadnień odnoszących się do ochrony ludności i </w:t>
            </w:r>
            <w:r w:rsidRPr="004902B8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u w:val="single"/>
              </w:rPr>
              <w:t>obrony cywilnej</w:t>
            </w:r>
            <w:r w:rsidRPr="004902B8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. Kształtowanie świadomości zagrożeń oraz odpowiednich zachowań w sytuacjach zagrożenia.”.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Ponadto w poniżej przedstawionych propozycjach Stowarzyszenie wskazuje, że chce realizować również działania w obszarze obrony cywilnej. W związku z tym zawężanie nazwy będzie nieuzasadnione.    </w:t>
            </w:r>
            <w:r w:rsidR="006E6F7C" w:rsidRPr="001D3C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E6F7C" w:rsidRPr="001D3C29" w14:paraId="0D6C46C8" w14:textId="77777777" w:rsidTr="00AB10CD">
        <w:tc>
          <w:tcPr>
            <w:tcW w:w="1708" w:type="dxa"/>
            <w:vMerge/>
            <w:vAlign w:val="center"/>
          </w:tcPr>
          <w:p w14:paraId="56B3D96D" w14:textId="77777777" w:rsidR="006E6F7C" w:rsidRPr="001D3C29" w:rsidRDefault="006E6F7C" w:rsidP="00AB2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7" w:type="dxa"/>
            <w:vAlign w:val="center"/>
          </w:tcPr>
          <w:p w14:paraId="0E764FAE" w14:textId="77777777" w:rsidR="006E6F7C" w:rsidRPr="001D3C29" w:rsidRDefault="006E6F7C" w:rsidP="008901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</w:pPr>
            <w:r w:rsidRPr="001D3C2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Propozycje/uwagi do programu współpracy:</w:t>
            </w:r>
          </w:p>
          <w:p w14:paraId="6BDB806E" w14:textId="33F53B7D" w:rsidR="006E6F7C" w:rsidRPr="001D3C29" w:rsidRDefault="006E6F7C" w:rsidP="00890177">
            <w:pPr>
              <w:pStyle w:val="Akapitzlist"/>
              <w:numPr>
                <w:ilvl w:val="0"/>
                <w:numId w:val="9"/>
              </w:numPr>
              <w:ind w:left="272" w:hanging="283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szkolenia dla mieszkańców Opola z zakresu ochrony ludności i obrony cywilnej – kontynuacja,</w:t>
            </w:r>
          </w:p>
          <w:p w14:paraId="5EDADAF8" w14:textId="24E030C1" w:rsidR="006E6F7C" w:rsidRPr="001D3C29" w:rsidRDefault="006E6F7C" w:rsidP="00890177">
            <w:pPr>
              <w:pStyle w:val="Akapitzlist"/>
              <w:numPr>
                <w:ilvl w:val="0"/>
                <w:numId w:val="9"/>
              </w:numPr>
              <w:ind w:left="272" w:hanging="283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szkolenia dla dzieci i młodzieży szkół opolskich z zakresu ochrony ludności i obrony cywilnej,</w:t>
            </w:r>
          </w:p>
          <w:p w14:paraId="0D0F4239" w14:textId="703D6F69" w:rsidR="006E6F7C" w:rsidRPr="001D3C29" w:rsidRDefault="006E6F7C" w:rsidP="00890177">
            <w:pPr>
              <w:pStyle w:val="Akapitzlist"/>
              <w:numPr>
                <w:ilvl w:val="0"/>
                <w:numId w:val="9"/>
              </w:numPr>
              <w:ind w:left="272" w:hanging="283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organizacja imprezy promującej tworzenie społeczeństwa obywatelskiego – działanie w zakresie ochrony ludności i obrony cywilnej – zawody </w:t>
            </w:r>
            <w:proofErr w:type="spellStart"/>
            <w:r w:rsidRPr="001D3C29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proobronne</w:t>
            </w:r>
            <w:proofErr w:type="spellEnd"/>
            <w:r w:rsidRPr="001D3C29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, gra terenowa,</w:t>
            </w:r>
          </w:p>
          <w:p w14:paraId="1D6C4E4A" w14:textId="4721A626" w:rsidR="006E6F7C" w:rsidRPr="001D3C29" w:rsidRDefault="006E6F7C" w:rsidP="00890177">
            <w:pPr>
              <w:pStyle w:val="Akapitzlist"/>
              <w:numPr>
                <w:ilvl w:val="0"/>
                <w:numId w:val="9"/>
              </w:numPr>
              <w:ind w:left="272" w:hanging="283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dofinansowanie do szkoleń śródrocznych dla członków stowarzyszenia,</w:t>
            </w:r>
          </w:p>
          <w:p w14:paraId="5F042E98" w14:textId="3C58194C" w:rsidR="006E6F7C" w:rsidRPr="001D3C29" w:rsidRDefault="006E6F7C" w:rsidP="00890177">
            <w:pPr>
              <w:pStyle w:val="Akapitzlist"/>
              <w:numPr>
                <w:ilvl w:val="0"/>
                <w:numId w:val="9"/>
              </w:numPr>
              <w:ind w:left="272" w:hanging="283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dofinansowanie do obozu letniego,</w:t>
            </w:r>
          </w:p>
          <w:p w14:paraId="3E7C6286" w14:textId="1F754D9F" w:rsidR="006E6F7C" w:rsidRPr="001D3C29" w:rsidRDefault="006E6F7C" w:rsidP="00890177">
            <w:pPr>
              <w:pStyle w:val="Akapitzlist"/>
              <w:numPr>
                <w:ilvl w:val="0"/>
                <w:numId w:val="9"/>
              </w:numPr>
              <w:ind w:left="272" w:hanging="283"/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zakup sprzętu szkoleniowego,</w:t>
            </w:r>
          </w:p>
          <w:p w14:paraId="4CA90316" w14:textId="28147F42" w:rsidR="006E6F7C" w:rsidRPr="001D3C29" w:rsidRDefault="006E6F7C" w:rsidP="00890177">
            <w:pPr>
              <w:pStyle w:val="Akapitzlist"/>
              <w:numPr>
                <w:ilvl w:val="0"/>
                <w:numId w:val="9"/>
              </w:numPr>
              <w:ind w:left="272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zakup sprzętu ratunkowego</w:t>
            </w:r>
          </w:p>
        </w:tc>
        <w:tc>
          <w:tcPr>
            <w:tcW w:w="3119" w:type="dxa"/>
          </w:tcPr>
          <w:p w14:paraId="7DE53AD0" w14:textId="77777777" w:rsidR="006E6F7C" w:rsidRPr="001D3C29" w:rsidRDefault="006E6F7C" w:rsidP="00E90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D13C266" w14:textId="77777777" w:rsidR="006E6F7C" w:rsidRPr="001D3C29" w:rsidRDefault="006E6F7C" w:rsidP="00E90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07AE1316" w14:textId="77777777" w:rsidR="004902B8" w:rsidRDefault="00AB10CD" w:rsidP="00E907D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Wszystkie wymienione propozycje mogą być realizowane w ramach priorytetu </w:t>
            </w:r>
            <w:r w:rsidR="00D409BA"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20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pkt. 1 tj. „</w:t>
            </w:r>
            <w:r w:rsidR="00D409BA"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Edukacja społeczna w zakresie zagadnień odnoszących się do ochrony ludności i </w:t>
            </w:r>
            <w:r w:rsidR="00D409BA" w:rsidRPr="001D3C29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obrony cywilnej</w:t>
            </w:r>
            <w:r w:rsidR="00D409BA"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. Kształtowanie świadomości zagrożeń oraz odpowiednich </w:t>
            </w:r>
            <w:proofErr w:type="spellStart"/>
            <w:r w:rsidR="00D409BA"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zachowań</w:t>
            </w:r>
            <w:proofErr w:type="spellEnd"/>
            <w:r w:rsidR="00D409BA"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w sytuacjach zagrożenia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.”</w:t>
            </w:r>
          </w:p>
          <w:p w14:paraId="0AE850B1" w14:textId="3C1EF262" w:rsidR="006E6F7C" w:rsidRPr="001D3C29" w:rsidRDefault="00AB10CD" w:rsidP="00E90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Punkt ten specjalnie został opracowany i skonstruowany w taki sposób</w:t>
            </w:r>
            <w:r w:rsidR="004902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aby dać organizacjom możliwość szerokiego spektrum działań.</w:t>
            </w:r>
          </w:p>
        </w:tc>
      </w:tr>
      <w:tr w:rsidR="006E6F7C" w:rsidRPr="001D3C29" w14:paraId="62A9F467" w14:textId="77777777" w:rsidTr="00AB10CD">
        <w:tc>
          <w:tcPr>
            <w:tcW w:w="1708" w:type="dxa"/>
            <w:vAlign w:val="center"/>
          </w:tcPr>
          <w:p w14:paraId="77F0610C" w14:textId="77777777" w:rsidR="006E6F7C" w:rsidRPr="001D3C29" w:rsidRDefault="006E6F7C" w:rsidP="00AB2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Zarząd Oddziału Wojewódzkiego </w:t>
            </w:r>
            <w:proofErr w:type="spellStart"/>
            <w:r w:rsidRPr="001D3C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ZEiRP</w:t>
            </w:r>
            <w:proofErr w:type="spellEnd"/>
            <w:r w:rsidRPr="001D3C2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RP oraz </w:t>
            </w:r>
            <w:r w:rsidRPr="001D3C29">
              <w:rPr>
                <w:rFonts w:ascii="Times New Roman" w:hAnsi="Times New Roman" w:cs="Times New Roman"/>
                <w:b/>
                <w:sz w:val="18"/>
                <w:szCs w:val="18"/>
              </w:rPr>
              <w:t>Oddział Wojewódzki Związku Emerytów i Rencistów Pożarnictwa RP w Opolu</w:t>
            </w:r>
          </w:p>
          <w:p w14:paraId="0DE42E24" w14:textId="77777777" w:rsidR="006E6F7C" w:rsidRPr="001D3C29" w:rsidRDefault="006E6F7C" w:rsidP="00AB2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7" w:type="dxa"/>
            <w:vAlign w:val="center"/>
          </w:tcPr>
          <w:p w14:paraId="5BC24427" w14:textId="2DE8A4A2" w:rsidR="006E6F7C" w:rsidRPr="001D3C29" w:rsidRDefault="006E6F7C" w:rsidP="00890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Propozycja zmiany:</w:t>
            </w:r>
          </w:p>
          <w:p w14:paraId="46BD8327" w14:textId="77777777" w:rsidR="006E6F7C" w:rsidRPr="001D3C29" w:rsidRDefault="006E6F7C" w:rsidP="00890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667DEFE" w14:textId="67D55B78" w:rsidR="006E6F7C" w:rsidRPr="001D3C29" w:rsidRDefault="006E6F7C" w:rsidP="00890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Priorytet 17 pkt 3</w:t>
            </w:r>
          </w:p>
          <w:p w14:paraId="6F5D5A17" w14:textId="35260EE3" w:rsidR="006E6F7C" w:rsidRPr="001D3C29" w:rsidRDefault="006E6F7C" w:rsidP="00890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treści Programu z</w:t>
            </w:r>
          </w:p>
          <w:p w14:paraId="5E2DA8AA" w14:textId="1B898519" w:rsidR="006E6F7C" w:rsidRPr="001D3C29" w:rsidRDefault="006E6F7C" w:rsidP="00890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„Wsparcie i promocja działalności i tradycji jednostek OSP oraz propagowanie zagadnień z zakresu ochrony przeciwpożarowej” </w:t>
            </w:r>
          </w:p>
          <w:p w14:paraId="28EC3B1E" w14:textId="05C3E342" w:rsidR="006E6F7C" w:rsidRPr="001D3C29" w:rsidRDefault="006E6F7C" w:rsidP="008901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na:</w:t>
            </w:r>
          </w:p>
          <w:p w14:paraId="05CAD97F" w14:textId="506E7CD4" w:rsidR="006E6F7C" w:rsidRPr="001D3C29" w:rsidRDefault="006E6F7C" w:rsidP="00A446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 w:rsidRPr="001D3C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Wsparcie i promocja działalności i tradycji pożarniczych oraz propagowanie zagadnień z zakresu ochrony przeciwpożarowej".</w:t>
            </w:r>
          </w:p>
        </w:tc>
        <w:tc>
          <w:tcPr>
            <w:tcW w:w="3119" w:type="dxa"/>
          </w:tcPr>
          <w:p w14:paraId="63479B3E" w14:textId="77777777" w:rsidR="006E6F7C" w:rsidRPr="001D3C29" w:rsidRDefault="006E6F7C" w:rsidP="00E90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9058A3" w14:textId="1E2EABD3" w:rsidR="006E6F7C" w:rsidRPr="004902B8" w:rsidRDefault="006E6F7C" w:rsidP="00E907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02B8">
              <w:rPr>
                <w:rFonts w:ascii="Times New Roman" w:hAnsi="Times New Roman" w:cs="Times New Roman"/>
                <w:b/>
                <w:sz w:val="16"/>
                <w:szCs w:val="18"/>
              </w:rPr>
              <w:t>Wydział Zarząd</w:t>
            </w:r>
            <w:bookmarkStart w:id="0" w:name="_GoBack"/>
            <w:bookmarkEnd w:id="0"/>
            <w:r w:rsidRPr="004902B8">
              <w:rPr>
                <w:rFonts w:ascii="Times New Roman" w:hAnsi="Times New Roman" w:cs="Times New Roman"/>
                <w:b/>
                <w:sz w:val="16"/>
                <w:szCs w:val="18"/>
              </w:rPr>
              <w:t>zania Kryzysowego</w:t>
            </w:r>
          </w:p>
        </w:tc>
        <w:tc>
          <w:tcPr>
            <w:tcW w:w="4961" w:type="dxa"/>
            <w:vAlign w:val="center"/>
          </w:tcPr>
          <w:p w14:paraId="2381DDB6" w14:textId="77777777" w:rsidR="004902B8" w:rsidRDefault="00AB10CD" w:rsidP="00E907D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Podczas spotkania roboczego w dniu 30.06.2025 Pani Zofia Kozina-</w:t>
            </w:r>
            <w:proofErr w:type="spellStart"/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Oloś</w:t>
            </w:r>
            <w:proofErr w:type="spellEnd"/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zwróciła się z wnioskiem w sprawie zmiany nazewnictwa wskazanego punktu. Wydział Zarządzania Kryzysowego uwzględnił wniosek i w propozycjach wydziału przesłanych w dniu 29.07.2025 r. pkt ten ma nazwę </w:t>
            </w:r>
          </w:p>
          <w:p w14:paraId="0D2E8257" w14:textId="77777777" w:rsidR="004902B8" w:rsidRDefault="004902B8" w:rsidP="00E907D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4B5F9584" w14:textId="48234C2F" w:rsidR="00693A43" w:rsidRPr="004902B8" w:rsidRDefault="00AB10CD" w:rsidP="00E907D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4902B8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„Wsparcie oraz promocja działalności i tradycji podmiotów działających na rzecz ochrony przeciwpożarowej oraz propagowanie zagadnień z zakresu ochrony przeciwpożarowej”.  </w:t>
            </w:r>
          </w:p>
          <w:p w14:paraId="39ADA3C3" w14:textId="77777777" w:rsidR="00693A43" w:rsidRPr="001D3C29" w:rsidRDefault="00693A43" w:rsidP="00E907D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4DD34063" w14:textId="77777777" w:rsidR="00693A43" w:rsidRPr="001D3C29" w:rsidRDefault="00AB10CD" w:rsidP="00E907D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W załączniku do uchwały Programu współpracy na 2026 r. jest błąd. </w:t>
            </w:r>
          </w:p>
          <w:p w14:paraId="5F7A18B7" w14:textId="77777777" w:rsidR="00693A43" w:rsidRPr="001D3C29" w:rsidRDefault="00693A43" w:rsidP="00E907DC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52069C60" w14:textId="3C59E384" w:rsidR="006E6F7C" w:rsidRPr="001D3C29" w:rsidRDefault="00AB10CD" w:rsidP="00E90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Proszę o jego skorygowanie zgodnie z przesłanymi założeniami z wydziału. </w:t>
            </w:r>
            <w:r w:rsidR="006E6F7C" w:rsidRPr="001D3C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E6F7C" w:rsidRPr="001D3C29" w14:paraId="2E102AAA" w14:textId="77777777" w:rsidTr="00AB10CD">
        <w:tc>
          <w:tcPr>
            <w:tcW w:w="1708" w:type="dxa"/>
            <w:vMerge w:val="restart"/>
            <w:vAlign w:val="center"/>
          </w:tcPr>
          <w:p w14:paraId="50692189" w14:textId="77777777" w:rsidR="006E6F7C" w:rsidRPr="001D3C29" w:rsidRDefault="006E6F7C" w:rsidP="00AB2E6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proofErr w:type="gramStart"/>
            <w:r w:rsidRPr="001D3C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Fundacja  Koło</w:t>
            </w:r>
            <w:proofErr w:type="gramEnd"/>
            <w:r w:rsidRPr="001D3C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Natury</w:t>
            </w:r>
          </w:p>
          <w:p w14:paraId="2D11F1FB" w14:textId="77777777" w:rsidR="006E6F7C" w:rsidRPr="001D3C29" w:rsidRDefault="006E6F7C" w:rsidP="00AB2E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57" w:type="dxa"/>
            <w:vAlign w:val="center"/>
          </w:tcPr>
          <w:p w14:paraId="24496DB3" w14:textId="33CD35C1" w:rsidR="006E6F7C" w:rsidRPr="001D3C29" w:rsidRDefault="006E6F7C" w:rsidP="00E907D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propozycje w ramach konsultacji społecznych Programu Współpracy Miasta Opola z organizacjami pozarządowymi na 2026 rok:</w:t>
            </w:r>
          </w:p>
          <w:p w14:paraId="62940E98" w14:textId="77777777" w:rsidR="006E6F7C" w:rsidRPr="001D3C29" w:rsidRDefault="006E6F7C" w:rsidP="00E907D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002420C" w14:textId="77777777" w:rsidR="006E6F7C" w:rsidRPr="001D3C29" w:rsidRDefault="006E6F7C" w:rsidP="00E907D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</w:t>
            </w:r>
            <w:r w:rsidRPr="001D3C2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Realne wsparcie dla nowo powstałych organizacji pozarządowych na terenie m. Opola</w:t>
            </w:r>
          </w:p>
          <w:p w14:paraId="247CE681" w14:textId="77B014C8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328CD84B" w14:textId="391A2EEC" w:rsidR="006E6F7C" w:rsidRPr="001D3C29" w:rsidRDefault="006E6F7C" w:rsidP="00AB2E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Program w §3 pkt 6 deklaruje "sprzyjające warunki” dla nowych organizacji pozarządowych, jednak brakuje w programie i w dotychczasowej praktyce konkretnych mechanizmów realizacji tego celu. Nowo powstałe organizacje napotykają bariery systemowe: wymogi minimum 12-miesięcznego działania, punktowanie za doświadczenie oraz ograniczone możliwości partnerstwa z doświadczonymi NGO. W konsekwencji pojawia się realne zagrożenie monopolizacji sektora NGO w m. Opolu, wbrew celom zwiększenia liczby podmiotów realizujących zadania publiczne.</w:t>
            </w:r>
          </w:p>
        </w:tc>
        <w:tc>
          <w:tcPr>
            <w:tcW w:w="1134" w:type="dxa"/>
            <w:vMerge w:val="restart"/>
            <w:vAlign w:val="center"/>
          </w:tcPr>
          <w:p w14:paraId="1EA20295" w14:textId="6BE0E229" w:rsidR="006E6F7C" w:rsidRPr="00E0336D" w:rsidRDefault="006E6F7C" w:rsidP="00E907D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336D">
              <w:rPr>
                <w:rFonts w:ascii="Times New Roman" w:hAnsi="Times New Roman" w:cs="Times New Roman"/>
                <w:b/>
                <w:sz w:val="16"/>
                <w:szCs w:val="18"/>
              </w:rPr>
              <w:t>Wydział Ochrony Środowiska i Rozwoju Rolnictwa</w:t>
            </w:r>
          </w:p>
        </w:tc>
        <w:tc>
          <w:tcPr>
            <w:tcW w:w="4961" w:type="dxa"/>
            <w:vAlign w:val="center"/>
          </w:tcPr>
          <w:p w14:paraId="66A39ECE" w14:textId="77AC6E32" w:rsidR="006E6F7C" w:rsidRPr="001D3C29" w:rsidRDefault="00AB10CD" w:rsidP="00E90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Nie przyjęto, ponieważ w ramach tworzenia sprzyjających warunków w mieście do powstania nowych organizacji mieści się realne wsparcie.      </w:t>
            </w:r>
          </w:p>
        </w:tc>
      </w:tr>
      <w:tr w:rsidR="006E6F7C" w:rsidRPr="001D3C29" w14:paraId="1EEDED34" w14:textId="77777777" w:rsidTr="00AB10CD">
        <w:tc>
          <w:tcPr>
            <w:tcW w:w="1708" w:type="dxa"/>
            <w:vMerge/>
            <w:vAlign w:val="center"/>
          </w:tcPr>
          <w:p w14:paraId="5ABE57BA" w14:textId="77777777" w:rsidR="006E6F7C" w:rsidRPr="001D3C29" w:rsidRDefault="006E6F7C" w:rsidP="00AB2E6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57" w:type="dxa"/>
            <w:vAlign w:val="center"/>
          </w:tcPr>
          <w:p w14:paraId="3FC8C79C" w14:textId="39B7C228" w:rsidR="006E6F7C" w:rsidRPr="001D3C29" w:rsidRDefault="006E6F7C" w:rsidP="00E907D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pkt 15 Załącznika do programu propozycja dodania nowych zadań:</w:t>
            </w:r>
          </w:p>
          <w:p w14:paraId="1E723B6A" w14:textId="77777777" w:rsidR="006E6F7C" w:rsidRPr="001D3C29" w:rsidRDefault="006E6F7C" w:rsidP="00E907D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C02E06F" w14:textId="636A9B85" w:rsidR="006E6F7C" w:rsidRPr="001D3C29" w:rsidRDefault="006E6F7C" w:rsidP="00E907DC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Inwentaryzacja zasobów zieleni miejskiej</w:t>
            </w:r>
          </w:p>
          <w:p w14:paraId="732A0B68" w14:textId="77777777" w:rsidR="006E6F7C" w:rsidRPr="001D3C29" w:rsidRDefault="006E6F7C" w:rsidP="00E907DC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Wdrożenie standardów utrzymania zieleni</w:t>
            </w:r>
          </w:p>
          <w:p w14:paraId="5A61E0EC" w14:textId="77777777" w:rsidR="006E6F7C" w:rsidRPr="001D3C29" w:rsidRDefault="006E6F7C" w:rsidP="00E907DC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Powołanie miejskiego dendrologa</w:t>
            </w:r>
          </w:p>
          <w:p w14:paraId="7CD8D645" w14:textId="77777777" w:rsidR="006E6F7C" w:rsidRPr="001D3C29" w:rsidRDefault="006E6F7C" w:rsidP="00E907DC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Program zwalczania gatunków inwazyjnych</w:t>
            </w:r>
          </w:p>
          <w:p w14:paraId="2EAB95F9" w14:textId="77777777" w:rsidR="006E6F7C" w:rsidRPr="001D3C29" w:rsidRDefault="006E6F7C" w:rsidP="00E907DC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Procedury ochrony dzikich zwierząt w mieście</w:t>
            </w:r>
          </w:p>
          <w:p w14:paraId="671084C7" w14:textId="77777777" w:rsidR="006E6F7C" w:rsidRPr="001D3C29" w:rsidRDefault="006E6F7C" w:rsidP="00E907DC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Dodatkowe działania na rzecz środowiska w Opolu</w:t>
            </w:r>
          </w:p>
          <w:p w14:paraId="6A15980B" w14:textId="5A0284F4" w:rsidR="006E6F7C" w:rsidRPr="001D3C29" w:rsidRDefault="006E6F7C" w:rsidP="00E907DC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Ułatwienie mieszkańcom dostępu do terenów zielonych</w:t>
            </w:r>
          </w:p>
          <w:p w14:paraId="20E67B47" w14:textId="7ADFEBBD" w:rsidR="008676AB" w:rsidRPr="001D3C29" w:rsidRDefault="008676AB" w:rsidP="008676AB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Eksploracja potencjałów w zakresie implementacji zielono-niebieskiej infrastruktury celem </w:t>
            </w:r>
            <w:proofErr w:type="spellStart"/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mitygacji</w:t>
            </w:r>
            <w:proofErr w:type="spellEnd"/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skutków zmian klimatycznych</w:t>
            </w:r>
          </w:p>
          <w:p w14:paraId="451420A5" w14:textId="7C43CE48" w:rsidR="008676AB" w:rsidRPr="001D3C29" w:rsidRDefault="008676AB" w:rsidP="008676AB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Kampanie podnoszące świadomość społeczną dotyczącą działań ekologicznych</w:t>
            </w:r>
          </w:p>
          <w:p w14:paraId="30352938" w14:textId="74086052" w:rsidR="008676AB" w:rsidRPr="001D3C29" w:rsidRDefault="008676AB" w:rsidP="008676AB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Promocja postaw łączących ekonomię i ekologię w myśl idei "ekologia opłaca się wszystkim, w tym i mnie"</w:t>
            </w:r>
          </w:p>
          <w:p w14:paraId="027B0391" w14:textId="0813A7F2" w:rsidR="008676AB" w:rsidRPr="001D3C29" w:rsidRDefault="008676AB" w:rsidP="008676AB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Bioróżnorodnie znaczy stabilnie - kampanie skierowane do posiadaczy gruntów rolnych w obrębie miasta Opola dotyczące tworzenia zielonych miedz i remiz śródpolnych, ochrony błotniaka łąkowego</w:t>
            </w:r>
          </w:p>
          <w:p w14:paraId="44448A52" w14:textId="50E21842" w:rsidR="008676AB" w:rsidRPr="001D3C29" w:rsidRDefault="008676AB" w:rsidP="008676AB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Dialog dotyczący polityki miasta w sprawie bezpańskich kotów w kontekście ochrony zagrożonych gatunków</w:t>
            </w:r>
          </w:p>
          <w:p w14:paraId="147B51EC" w14:textId="7051808D" w:rsidR="008676AB" w:rsidRPr="001D3C29" w:rsidRDefault="008676AB" w:rsidP="008676AB">
            <w:pPr>
              <w:numPr>
                <w:ilvl w:val="0"/>
                <w:numId w:val="10"/>
              </w:numPr>
              <w:ind w:left="272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Kampanie skierowane do developerów, administratorów i firm budowlanych celem ochrony gatunków gnieżdżących się w budynkach.</w:t>
            </w:r>
          </w:p>
          <w:p w14:paraId="2BBA3094" w14:textId="77777777" w:rsidR="008676AB" w:rsidRPr="001D3C29" w:rsidRDefault="008676AB" w:rsidP="008676A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33866FE" w14:textId="40B2FB08" w:rsidR="006E6F7C" w:rsidRPr="001D3C29" w:rsidRDefault="006E6F7C" w:rsidP="00E907DC">
            <w:pPr>
              <w:ind w:left="27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14:paraId="01283540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E8F9264" w14:textId="49370362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Ad 1) Inwentaryzacja zasobów zieleni miejskiej</w:t>
            </w:r>
          </w:p>
          <w:p w14:paraId="64F004BB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Fundacja Koło Natury proponuje realizację kompleksowej inwentaryzacji zieleni miejskiej metodą </w:t>
            </w:r>
            <w:proofErr w:type="spellStart"/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arborystyczną</w:t>
            </w:r>
            <w:proofErr w:type="spellEnd"/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wzorując się na doświadczeniach Wrocławia, Kielc czy innych miast w Polsce. Dane z inwentaryzacji zostałyby włączone do systemu informacji przestrzennej miasta (GIS). Dzięki temu Opole uzyskałoby aktualną, pełną wiedzę o drzewach i krzewach rosnących w granicach miasta, co pozwoli skuteczniej zarządzać zielenią, planować nasadzenia, monitorować stan zdrowotny drzew i reagować na zagrożenia. Brak pełnej inwentaryzacji uniemożliwia efektywne planowanie przestrzenne i ochronę bioróżnorodności miejskiej.</w:t>
            </w:r>
          </w:p>
          <w:p w14:paraId="66F26FCB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14:paraId="7DB7B43B" w14:textId="05F0F66C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Ad 2) Wdrożenie standardów utrzymania zieleni</w:t>
            </w:r>
          </w:p>
          <w:p w14:paraId="0B8A3472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Fundacja proponuje, aby miasto wdrożyło standardy utrzymania zieleni (opracowane </w:t>
            </w:r>
            <w:hyperlink r:id="rId5" w:tgtFrame="_blank" w:history="1">
              <w:r w:rsidRPr="001D3C2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m.in</w:t>
              </w:r>
            </w:hyperlink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przez Fundację Sendzimira), które: określają dobre praktyki pielęgnacji drzew, krzewów i trawników, zapobiegają nieprawidłowym cięciom i niszczeniu zieleni, wspierają rozwój bioróżnorodności i estetyki przestrzeni publicznych. Wprowadzenie standardów zwiększy efektywność wydawania środków publicznych na zieleń i poprawi jakość przestrzeni miejskiej.</w:t>
            </w:r>
          </w:p>
          <w:p w14:paraId="500ABA60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14:paraId="469CE139" w14:textId="65293643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Ad 3) Powołanie miejskiego dendrologa</w:t>
            </w:r>
          </w:p>
          <w:p w14:paraId="0B791436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Fundacja rekomenduje utworzenie stanowiska miejskiego dendrologa, którego zadania obejmowałyby: kontrolę stanu drzewostanu i wydawanie opinii przy inwestycjach, nadzór nad realizacją standardów utrzymania zieleni, ograniczanie zniszczeń zieleni przy inwestycjach budowlanych (</w:t>
            </w:r>
            <w:hyperlink r:id="rId6" w:tgtFrame="_blank" w:history="1">
              <w:r w:rsidRPr="001D3C2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m.in</w:t>
              </w:r>
            </w:hyperlink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ochrona systemów korzeniowych, prawidłowe cięcia, planowanie przesadzeń), edukację społeczną i współpracę z mieszkańcami w zakresie ochrony przyrody. Specjalistyczny nadzór nad zielenią jest standardem w nowoczesnych miastach dbających o środowisko naturalne.</w:t>
            </w:r>
          </w:p>
          <w:p w14:paraId="3F09208D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14:paraId="5C329F42" w14:textId="1AE6D880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Ad 4) Program zwalczania gatunków inwazyjnych</w:t>
            </w:r>
          </w:p>
          <w:p w14:paraId="1D147F3F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Miasto, przy wsparciu Fundacji, mogłoby wdrożyć program inwentaryzacji i usuwania gatunków inwazyjnych roślin i zwierząt. Wypracowanie jasnych procedur usuwania i kontroli gatunków obcych, ograniczanie ich wpływu na bioróżnorodność lokalną i zdrowie miejskich ekosystemów. Gatunki inwazyjne stanowią rosnące zagrożenie dla lokalnych ekosystemów i wymagają systematycznego monitoringu.</w:t>
            </w:r>
          </w:p>
          <w:p w14:paraId="36624650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14:paraId="73304E44" w14:textId="501A3BEB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Ad 5) Procedury ochrony dzikich zwierząt w mieście</w:t>
            </w:r>
          </w:p>
          <w:p w14:paraId="1F37736D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Fundacja proponuje także opracowanie i wdrożenie procedur postępowania w przypadku dzikich zwierząt w granicach miasta: stworzenie systemu reagowania na kolizje drogowe z udziałem zwierząt, opracowanie procedur leczenia i rehabilitacji rannych zwierząt, przeszkolenie </w:t>
            </w:r>
            <w:hyperlink r:id="rId7" w:tgtFrame="_blank" w:history="1">
              <w:r w:rsidRPr="001D3C2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m.in</w:t>
              </w:r>
            </w:hyperlink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Straży Miejskiej w zakresie udzielania pierwszej pomocy i właściwego reagowania w sytuacjach kryzysowych, współpraca z ośrodkami rehabilitacji zwierząt i organizacjami ekologicznymi. Zwiększająca się obecność dzikich zwierząt w mieście wymaga wypracowania profesjonalnych procedur reagowania.</w:t>
            </w:r>
          </w:p>
          <w:p w14:paraId="2D53E5A7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14:paraId="069E1555" w14:textId="62D2089D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Ad 6) Dodatkowe działania na rzecz środowiska w Opolu</w:t>
            </w:r>
          </w:p>
          <w:p w14:paraId="79A5134D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Fundacja Koło Natury wskazuje także na możliwość realizacji uzupełniających projektów, </w:t>
            </w:r>
            <w:hyperlink r:id="rId8" w:tgtFrame="_blank" w:history="1">
              <w:r w:rsidRPr="001D3C2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pl-PL"/>
                </w:rPr>
                <w:t>m.in</w:t>
              </w:r>
            </w:hyperlink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 tworzenie programów retencji miejskiej – wykorzystanie zieleni i błękitno-zielonej infrastruktury do zatrzymywania wód opadowych, zakładanie ogrodów deszczowych, parków kieszonkowych i zielonych dachów, wdrożenie systemu monitoringu bioróżnorodności (np. ptaki, owady zapylające) w przestrzeni miejskiej, prowadzenie działań edukacyjnych i partycypacyjnych z mieszkańcami, które wzmacniają poczucie odpowiedzialności za wspólną przestrzeń. Kompleksowe podejście do zieleni miejskiej zwiększa odporność miasta na zmiany klimatu i poprawia jakość życia mieszkańców.</w:t>
            </w:r>
          </w:p>
          <w:p w14:paraId="4CE25E5E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14:paraId="234B1D7B" w14:textId="0395D7BF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Ad 6) Ułatwienie mieszkańcom dostępu do terenów zielonych</w:t>
            </w:r>
          </w:p>
          <w:p w14:paraId="13B6CFA7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Fundacja zwraca uwagę na potrzebę poprawy dostępności mieszkańców do terenów zielonych i leśnych w granicach miasta. Pilnym problemem jest np. brak bezpiecznego przejścia w rejonie Ronda </w:t>
            </w:r>
            <w:proofErr w:type="spellStart"/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Szczakiela</w:t>
            </w:r>
            <w:proofErr w:type="spellEnd"/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oraz ul. Częstochowskiej (okolice ogródków działkowych). Mieszkańcy Kolonii Gosławickiej nie mają obecnie realnej możliwości dostępu do pobliskich lasów, co zmusza ich do niebezpiecznego przekraczania ruchliwej drogi. Proponujemy, aby miasto w ramach inwestycji infrastrukturalnych stworzyło bezpieczne przejścia i połączenia komunikacyjne (np. kładki, przejścia pieszo-rowerowe), które umożliwią korzystanie z terenów rekreacyjnych i zielonych bez zagrożenia dla zdrowia i życia mieszkańców. Równy dostęp do terenów zielonych jest prawem mieszkańców i wpływa na zdrowie publiczne oraz jakość życia.</w:t>
            </w:r>
          </w:p>
          <w:p w14:paraId="6748F695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14:paraId="7528A5D1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Postulujemy rozszerzenie i lepsze skonkretyzowanie zakresu pkt 15 Załącznika i przeznaczenie konkretnego, adekwatnego budżetu na działania zw. z ochroną środowiska, co pozwoli na odpowiednie reagowanie na potrzeby i realizację kompleksowych działań w tym zakresie.</w:t>
            </w:r>
          </w:p>
          <w:p w14:paraId="336E2E26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  <w:p w14:paraId="24ED3EF3" w14:textId="77777777" w:rsidR="006E6F7C" w:rsidRPr="001D3C29" w:rsidRDefault="006E6F7C" w:rsidP="00AB2E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D3C2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Fundacja Koło Natury deklaruje gotowość do współpracy przy wdrażaniu proponowanych rozwiązań oraz oferuje wsparcie merytoryczne w zakresie ochrony środowiska czy edukacji ekologicznej. W przypadku pytań bądź wątpliwości, służymy dodatkowymi informacjami (dane kontaktowe w stopce e-maila).</w:t>
            </w:r>
          </w:p>
          <w:p w14:paraId="3C94AD45" w14:textId="77777777" w:rsidR="006E6F7C" w:rsidRPr="001D3C29" w:rsidRDefault="006E6F7C" w:rsidP="00AB2E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2B968" w14:textId="77777777" w:rsidR="006E6F7C" w:rsidRPr="001D3C29" w:rsidRDefault="006E6F7C" w:rsidP="00E90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3D98908" w14:textId="77777777" w:rsidR="006E6F7C" w:rsidRPr="001D3C29" w:rsidRDefault="006E6F7C" w:rsidP="00E90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49E4B7E9" w14:textId="59AD469A" w:rsidR="00AB10CD" w:rsidRDefault="00AB10CD" w:rsidP="00AB10C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Uwagi:</w:t>
            </w:r>
          </w:p>
          <w:p w14:paraId="677A5E68" w14:textId="77777777" w:rsidR="001D3C29" w:rsidRPr="001D3C29" w:rsidRDefault="001D3C29" w:rsidP="00AB10C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66703A89" w14:textId="61E5262B" w:rsidR="00AB10CD" w:rsidRPr="001D3C29" w:rsidRDefault="00AB10CD" w:rsidP="00AB10C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Ad 1. Zawarte</w:t>
            </w:r>
            <w:r w:rsid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w działaniach</w:t>
            </w:r>
          </w:p>
          <w:p w14:paraId="7A829240" w14:textId="7DEFB649" w:rsidR="00AB10CD" w:rsidRPr="001D3C29" w:rsidRDefault="00AB10CD" w:rsidP="00AB10C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Ad 2</w:t>
            </w:r>
            <w:r w:rsid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="004902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ie ma potrzeby, istnieje takie zarządzenie dla miasta, dla prywatnych konieczna edukacja.</w:t>
            </w:r>
          </w:p>
          <w:p w14:paraId="7E31A472" w14:textId="1F815265" w:rsidR="00AB10CD" w:rsidRPr="001D3C29" w:rsidRDefault="00AB10CD" w:rsidP="00AB10C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Ad</w:t>
            </w:r>
            <w:r w:rsid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3. </w:t>
            </w:r>
            <w:r w:rsidR="004902B8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N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ie ma potrzeby, jest Komisja Zieleni przy Prezydencie</w:t>
            </w:r>
          </w:p>
          <w:p w14:paraId="517EABB7" w14:textId="5A06C7C0" w:rsidR="00AB10CD" w:rsidRPr="001D3C29" w:rsidRDefault="00AB10CD" w:rsidP="00AB10C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Ad</w:t>
            </w:r>
            <w:r w:rsid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4. Zawarte</w:t>
            </w:r>
            <w:r w:rsid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w działaniach</w:t>
            </w:r>
          </w:p>
          <w:p w14:paraId="038E6087" w14:textId="542CFC96" w:rsidR="00AB10CD" w:rsidRPr="001D3C29" w:rsidRDefault="00AB10CD" w:rsidP="00AB10C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proofErr w:type="gramStart"/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Ad</w:t>
            </w:r>
            <w:r w:rsid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 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5</w:t>
            </w:r>
            <w:proofErr w:type="gramEnd"/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Zawarte</w:t>
            </w:r>
            <w:r w:rsid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w działaniach</w:t>
            </w:r>
          </w:p>
          <w:p w14:paraId="7F921C06" w14:textId="5CE2D70A" w:rsidR="006E6F7C" w:rsidRPr="001D3C29" w:rsidRDefault="00AB10CD" w:rsidP="00AB10CD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Ad</w:t>
            </w:r>
            <w:r w:rsid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6 i Ad 7 Zawarte</w:t>
            </w:r>
            <w:r w:rsid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w działaniach</w:t>
            </w:r>
          </w:p>
          <w:p w14:paraId="6D569869" w14:textId="77777777" w:rsidR="00AB10CD" w:rsidRPr="001D3C29" w:rsidRDefault="00AB10CD" w:rsidP="00AB1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10940" w14:textId="3637F0BE" w:rsidR="00AB10CD" w:rsidRPr="001D3C29" w:rsidRDefault="00AB10CD" w:rsidP="00AB1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B6831" w14:textId="0578D800" w:rsidR="00AB10CD" w:rsidRPr="001D3C29" w:rsidRDefault="00AB10CD" w:rsidP="00AB1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033452" w14:textId="7DFAE9BA" w:rsidR="00AB10CD" w:rsidRPr="001D3C29" w:rsidRDefault="00AB10CD" w:rsidP="00AB1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590C3" w14:textId="0AEF5CFD" w:rsidR="00AB10CD" w:rsidRPr="001D3C29" w:rsidRDefault="00AB10CD" w:rsidP="00AB1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F08B7" w14:textId="708E0DCC" w:rsidR="00AB10CD" w:rsidRPr="001D3C29" w:rsidRDefault="00AB10CD" w:rsidP="00AB1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B44997" w14:textId="6377F0B5" w:rsidR="00AB10CD" w:rsidRPr="001D3C29" w:rsidRDefault="00AB10CD" w:rsidP="00AB10CD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0B5A3B34" w14:textId="77777777" w:rsidR="00AB10CD" w:rsidRPr="001D3C29" w:rsidRDefault="00AB10CD" w:rsidP="00AB10CD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3F6CCA18" w14:textId="13216F11" w:rsidR="00AB10CD" w:rsidRPr="001D3C29" w:rsidRDefault="00AB10CD" w:rsidP="004902B8">
            <w:pPr>
              <w:pStyle w:val="Tekstkomentarza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Nie ma potrzeby dopisywania takiej ilości szczegółowych zadań, gdyż są one </w:t>
            </w:r>
            <w:r w:rsidRPr="001D3C29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już 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zawarte ogólnie w </w:t>
            </w:r>
            <w:r w:rsidRPr="001D3C29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szczegółowych 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działaniach </w:t>
            </w:r>
            <w:r w:rsidRPr="001D3C29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tego 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zadania</w:t>
            </w:r>
            <w:r w:rsidRPr="001D3C29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 (jak niżej)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. WOŚiR </w:t>
            </w:r>
            <w:r w:rsidRPr="001D3C29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pozytywnie je opiniuje i 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jest za ich uwzględnieniem (części</w:t>
            </w:r>
            <w:r w:rsidRPr="001D3C29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 z nich -wyłączenia w uwagach</w:t>
            </w:r>
            <w:r w:rsidRPr="001D3C2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) ale nie ma konieczności ich listowania.</w:t>
            </w:r>
            <w:r w:rsidRPr="001D3C29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 Program ost</w:t>
            </w:r>
            <w:r w:rsidR="004902B8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a</w:t>
            </w:r>
            <w:r w:rsidRPr="001D3C29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stanio został celowo okrojony w </w:t>
            </w:r>
            <w:r w:rsidR="004902B8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liczbie</w:t>
            </w:r>
            <w:r w:rsidRPr="001D3C29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 zadań, a uszczegółowiony w działaniach by był przejrzysty.</w:t>
            </w:r>
          </w:p>
          <w:p w14:paraId="4B91DF7F" w14:textId="77777777" w:rsidR="00AB10CD" w:rsidRPr="001D3C29" w:rsidRDefault="00AB10CD" w:rsidP="00AB10CD">
            <w:pPr>
              <w:pStyle w:val="Tekstkomentarza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35D3F1BF" w14:textId="2E21E37D" w:rsidR="00AB10CD" w:rsidRPr="001D3C29" w:rsidRDefault="00AB10CD" w:rsidP="00AB1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AE1E40" w14:textId="37048632" w:rsidR="00C0309E" w:rsidRDefault="00C0309E" w:rsidP="00C0309E">
      <w:pPr>
        <w:rPr>
          <w:rFonts w:ascii="Times New Roman" w:hAnsi="Times New Roman" w:cs="Times New Roman"/>
        </w:rPr>
      </w:pPr>
    </w:p>
    <w:p w14:paraId="08898672" w14:textId="408D5852" w:rsidR="000B0A84" w:rsidRPr="000B0A84" w:rsidRDefault="00E907DC" w:rsidP="00E907DC">
      <w:pPr>
        <w:rPr>
          <w:rFonts w:ascii="Times New Roman" w:hAnsi="Times New Roman" w:cs="Times New Roman"/>
          <w:b/>
          <w:color w:val="0D0D0D" w:themeColor="text1" w:themeTint="F2"/>
        </w:rPr>
      </w:pPr>
      <w:r>
        <w:rPr>
          <w:rFonts w:ascii="Times New Roman" w:hAnsi="Times New Roman" w:cs="Times New Roman"/>
        </w:rPr>
        <w:t xml:space="preserve"> </w:t>
      </w:r>
    </w:p>
    <w:p w14:paraId="195963EB" w14:textId="53443933" w:rsidR="000B0A84" w:rsidRPr="00763634" w:rsidRDefault="000B0A84" w:rsidP="00E907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63634">
        <w:rPr>
          <w:rFonts w:ascii="Times New Roman" w:eastAsia="Times New Roman" w:hAnsi="Times New Roman" w:cs="Times New Roman"/>
          <w:lang w:eastAsia="pl-PL"/>
        </w:rPr>
        <w:t> </w:t>
      </w:r>
    </w:p>
    <w:p w14:paraId="7E6BF7FD" w14:textId="59537C49" w:rsidR="000B0A84" w:rsidRPr="00C0309E" w:rsidRDefault="000B0A84" w:rsidP="006E6F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3634">
        <w:rPr>
          <w:rFonts w:ascii="Times New Roman" w:eastAsia="Times New Roman" w:hAnsi="Times New Roman" w:cs="Times New Roman"/>
          <w:lang w:eastAsia="pl-PL"/>
        </w:rPr>
        <w:t> </w:t>
      </w:r>
      <w:r w:rsidR="00AB2E6C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0B0A84" w:rsidRPr="00C0309E" w:rsidSect="00A446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B4D"/>
    <w:multiLevelType w:val="hybridMultilevel"/>
    <w:tmpl w:val="0832A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436AE"/>
    <w:multiLevelType w:val="hybridMultilevel"/>
    <w:tmpl w:val="9886D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50EA"/>
    <w:multiLevelType w:val="multilevel"/>
    <w:tmpl w:val="B876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92C3F"/>
    <w:multiLevelType w:val="multilevel"/>
    <w:tmpl w:val="48EA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CD600B"/>
    <w:multiLevelType w:val="multilevel"/>
    <w:tmpl w:val="A2BE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390D37"/>
    <w:multiLevelType w:val="multilevel"/>
    <w:tmpl w:val="2F52C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B6CF8"/>
    <w:multiLevelType w:val="hybridMultilevel"/>
    <w:tmpl w:val="3B904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D3FB2"/>
    <w:multiLevelType w:val="hybridMultilevel"/>
    <w:tmpl w:val="C0CE4AB0"/>
    <w:lvl w:ilvl="0" w:tplc="48926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45BA9"/>
    <w:multiLevelType w:val="multilevel"/>
    <w:tmpl w:val="370E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82064D"/>
    <w:multiLevelType w:val="multilevel"/>
    <w:tmpl w:val="C880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A645EF"/>
    <w:multiLevelType w:val="multilevel"/>
    <w:tmpl w:val="5450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1725F3"/>
    <w:multiLevelType w:val="multilevel"/>
    <w:tmpl w:val="09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6D"/>
    <w:rsid w:val="000B0A84"/>
    <w:rsid w:val="001D3C29"/>
    <w:rsid w:val="001F7A2F"/>
    <w:rsid w:val="0033026D"/>
    <w:rsid w:val="004902B8"/>
    <w:rsid w:val="00693A43"/>
    <w:rsid w:val="006D444C"/>
    <w:rsid w:val="006E6F7C"/>
    <w:rsid w:val="008676AB"/>
    <w:rsid w:val="00890177"/>
    <w:rsid w:val="00A44616"/>
    <w:rsid w:val="00A91AC8"/>
    <w:rsid w:val="00AB10CD"/>
    <w:rsid w:val="00AB2E6C"/>
    <w:rsid w:val="00C0309E"/>
    <w:rsid w:val="00D409BA"/>
    <w:rsid w:val="00E0336D"/>
    <w:rsid w:val="00E907DC"/>
    <w:rsid w:val="00E9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E070"/>
  <w15:chartTrackingRefBased/>
  <w15:docId w15:val="{33C362FF-F444-47D4-B36C-D4B71B2C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09E"/>
    <w:pPr>
      <w:ind w:left="720"/>
      <w:contextualSpacing/>
    </w:pPr>
  </w:style>
  <w:style w:type="table" w:styleId="Tabela-Siatka">
    <w:name w:val="Table Grid"/>
    <w:basedOn w:val="Standardowy"/>
    <w:uiPriority w:val="39"/>
    <w:rsid w:val="00890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10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10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2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2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s%3a%2f%2fm.in&amp;c=E,1,0PnrboR4oD7CCp9R9FINvF6z2OvgFJKiDOWAEGT5w44dI63Et4KDKSf7KLb_wtkl26aTn6VLinAvyrAgNO0kLHpq742frs_6L0bKhqY8hljuE0ypLTxvtbpqlic,&amp;typo=1&amp;ancr_ad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protect.cudasvc.com/url?a=https%3a%2f%2fm.in&amp;c=E,1,KVGtfcSgKYFEndygOxjEc_ozGcHyoa32YB-NzTQ7U60vojowlSQX_Jq445PyZy2qEo9Ye8tpKOk2yBHjlLdEKymebZn9uG5Wuv8xRNLN-9jYakjdl1CO3qz9BQ,,&amp;typo=1&amp;ancr_ad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protect.cudasvc.com/url?a=http%3a%2f%2fm.in&amp;c=E,1,29Ke9Xur0lf_Qw5XYXB9dhmohCT6ICv2x1zvt6qPehtyc-rS-2x9OSl34IEYtJBLlmDBIyxpiiSvTiRN6KSeMGH-na3Xz-mjixc68ri2-ECQxB4,&amp;typo=1" TargetMode="External"/><Relationship Id="rId5" Type="http://schemas.openxmlformats.org/officeDocument/2006/relationships/hyperlink" Target="https://linkprotect.cudasvc.com/url?a=https%3a%2f%2fm.in&amp;c=E,1,MFN0SQ0_qgz6al9O5PmYB97AK6yGLvtVeAgKIjqd_RFxArS7_seAMF9ed0dTh4L2kJnAEWTQAxVnLtq1ax2R8LaZDJnZ2o-PqgrnjV33UsvOkYWwsvse-Q,,&amp;typo=1&amp;ancr_add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1727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</dc:creator>
  <cp:keywords/>
  <dc:description/>
  <cp:lastModifiedBy>Izabela Dziewulska</cp:lastModifiedBy>
  <cp:revision>5</cp:revision>
  <cp:lastPrinted>2025-10-08T11:27:00Z</cp:lastPrinted>
  <dcterms:created xsi:type="dcterms:W3CDTF">2025-10-07T10:59:00Z</dcterms:created>
  <dcterms:modified xsi:type="dcterms:W3CDTF">2025-10-08T11:27:00Z</dcterms:modified>
</cp:coreProperties>
</file>